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1EDC" w14:textId="77761AEA" w:rsidR="00230ED9" w:rsidRPr="004610C4" w:rsidRDefault="4AEB4438">
      <w:pPr>
        <w:rPr>
          <w:color w:val="000000" w:themeColor="text1"/>
        </w:rPr>
      </w:pPr>
      <w:r w:rsidRPr="004610C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Note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>: The following template press release is for ChannelE2E Top 100 Vertical Market MSPs (202</w:t>
      </w:r>
      <w:r w:rsidR="004610C4" w:rsidRPr="004610C4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 Edition) honoree companies.</w:t>
      </w:r>
    </w:p>
    <w:p w14:paraId="53039356" w14:textId="09BE5C5F" w:rsidR="00230ED9" w:rsidRDefault="4AEB4438"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Honorees are welcome to customize the red areas of the press release. Please do not alter or omit any sections in black. For questions or comments please email ChannelE2E </w:t>
      </w:r>
      <w:r w:rsidR="004610C4" w:rsidRPr="004610C4">
        <w:rPr>
          <w:rFonts w:ascii="Arial" w:hAnsi="Arial" w:cs="Arial"/>
          <w:color w:val="000000" w:themeColor="text1"/>
          <w:sz w:val="24"/>
          <w:szCs w:val="24"/>
        </w:rPr>
        <w:t>Jessica C. Davis, Editorial Director, MSSP Alert</w:t>
      </w:r>
      <w:r w:rsidR="004610C4">
        <w:rPr>
          <w:rFonts w:ascii="Arial" w:hAnsi="Arial" w:cs="Arial"/>
          <w:color w:val="000000" w:themeColor="text1"/>
          <w:sz w:val="24"/>
          <w:szCs w:val="24"/>
        </w:rPr>
        <w:t xml:space="preserve"> and ChannelE2E, </w:t>
      </w:r>
      <w:hyperlink r:id="rId8" w:history="1">
        <w:r w:rsidR="004610C4" w:rsidRPr="004610C4">
          <w:rPr>
            <w:rStyle w:val="Hyperlink"/>
            <w:rFonts w:ascii="Arial" w:hAnsi="Arial" w:cs="Arial"/>
            <w:color w:val="0078D7"/>
            <w:sz w:val="24"/>
            <w:szCs w:val="24"/>
          </w:rPr>
          <w:t>jessica.c.davis@cyberriskalliance.com</w:t>
        </w:r>
      </w:hyperlink>
    </w:p>
    <w:p w14:paraId="3F83E8B8" w14:textId="304394EF" w:rsidR="00230ED9" w:rsidRDefault="4AEB4438">
      <w:r w:rsidRPr="4AEB4438">
        <w:rPr>
          <w:rFonts w:ascii="Calibri" w:eastAsia="Calibri" w:hAnsi="Calibri" w:cs="Calibri"/>
        </w:rPr>
        <w:t xml:space="preserve"> </w:t>
      </w:r>
    </w:p>
    <w:p w14:paraId="57794966" w14:textId="440879BF" w:rsidR="00230ED9" w:rsidRDefault="4AEB4438">
      <w:r w:rsidRPr="4AEB4438">
        <w:rPr>
          <w:rFonts w:ascii="Arial" w:eastAsia="Arial" w:hAnsi="Arial" w:cs="Arial"/>
          <w:b/>
          <w:bCs/>
          <w:color w:val="343434"/>
          <w:sz w:val="24"/>
          <w:szCs w:val="24"/>
        </w:rPr>
        <w:t>BEGIN PRESS RELEASE:</w:t>
      </w:r>
      <w:r w:rsidRPr="4AEB4438">
        <w:rPr>
          <w:rFonts w:ascii="Arial" w:eastAsia="Arial" w:hAnsi="Arial" w:cs="Arial"/>
          <w:color w:val="262A2E"/>
          <w:sz w:val="24"/>
          <w:szCs w:val="24"/>
        </w:rPr>
        <w:t xml:space="preserve"> </w:t>
      </w:r>
    </w:p>
    <w:p w14:paraId="28FFADD9" w14:textId="47DF212B" w:rsidR="00230ED9" w:rsidRPr="004610C4" w:rsidRDefault="4AEB4438" w:rsidP="004610C4">
      <w:pPr>
        <w:jc w:val="center"/>
        <w:rPr>
          <w:rFonts w:ascii="Open Sans" w:eastAsia="Times New Roman" w:hAnsi="Open Sans" w:cs="Open Sans"/>
          <w:b/>
          <w:bCs/>
          <w:sz w:val="40"/>
          <w:szCs w:val="40"/>
        </w:rPr>
      </w:pPr>
      <w:r w:rsidRPr="4AEB4438">
        <w:rPr>
          <w:rFonts w:ascii="Arial" w:eastAsia="Arial" w:hAnsi="Arial" w:cs="Arial"/>
          <w:color w:val="FB0007"/>
          <w:sz w:val="24"/>
          <w:szCs w:val="24"/>
        </w:rPr>
        <w:t>[Insert Your Company]</w:t>
      </w:r>
      <w:r w:rsidRPr="4AEB4438">
        <w:rPr>
          <w:rFonts w:ascii="Arial" w:eastAsia="Arial" w:hAnsi="Arial" w:cs="Arial"/>
          <w:color w:val="343434"/>
          <w:sz w:val="24"/>
          <w:szCs w:val="24"/>
        </w:rPr>
        <w:t xml:space="preserve"> Named to </w:t>
      </w:r>
      <w:r w:rsidR="004610C4" w:rsidRPr="004610C4">
        <w:rPr>
          <w:rFonts w:ascii="Arial" w:eastAsia="Times New Roman" w:hAnsi="Arial" w:cs="Arial"/>
          <w:sz w:val="24"/>
          <w:szCs w:val="24"/>
        </w:rPr>
        <w:t>ChannelE2E Releases 2023 List of Top 100 Vertical Market MSPs</w:t>
      </w:r>
      <w:r w:rsidRPr="4AEB4438">
        <w:rPr>
          <w:rFonts w:ascii="Arial" w:eastAsia="Arial" w:hAnsi="Arial" w:cs="Arial"/>
          <w:color w:val="343434"/>
          <w:sz w:val="24"/>
          <w:szCs w:val="24"/>
        </w:rPr>
        <w:t xml:space="preserve"> </w:t>
      </w:r>
    </w:p>
    <w:p w14:paraId="5A02F901" w14:textId="77777777" w:rsidR="004610C4" w:rsidRPr="004610C4" w:rsidRDefault="004610C4" w:rsidP="004610C4">
      <w:pPr>
        <w:jc w:val="center"/>
        <w:rPr>
          <w:rFonts w:ascii="Arial" w:hAnsi="Arial" w:cs="Arial"/>
          <w:sz w:val="24"/>
          <w:szCs w:val="24"/>
        </w:rPr>
      </w:pPr>
      <w:r w:rsidRPr="004610C4">
        <w:rPr>
          <w:rFonts w:ascii="Arial" w:hAnsi="Arial" w:cs="Arial"/>
          <w:sz w:val="24"/>
          <w:szCs w:val="24"/>
        </w:rPr>
        <w:t xml:space="preserve">Eighth annual list reveals healthcare is a top market for managed service providers with vertical </w:t>
      </w:r>
      <w:proofErr w:type="gramStart"/>
      <w:r w:rsidRPr="004610C4">
        <w:rPr>
          <w:rFonts w:ascii="Arial" w:hAnsi="Arial" w:cs="Arial"/>
          <w:sz w:val="24"/>
          <w:szCs w:val="24"/>
        </w:rPr>
        <w:t>specialties</w:t>
      </w:r>
      <w:proofErr w:type="gramEnd"/>
      <w:r w:rsidRPr="004610C4">
        <w:rPr>
          <w:rFonts w:ascii="Arial" w:hAnsi="Arial" w:cs="Arial"/>
          <w:sz w:val="24"/>
          <w:szCs w:val="24"/>
        </w:rPr>
        <w:t xml:space="preserve">  </w:t>
      </w:r>
    </w:p>
    <w:p w14:paraId="077C245D" w14:textId="2447A381" w:rsidR="00230ED9" w:rsidRDefault="4AEB4438">
      <w:r w:rsidRPr="4AEB4438">
        <w:rPr>
          <w:rFonts w:ascii="Arial" w:eastAsia="Arial" w:hAnsi="Arial" w:cs="Arial"/>
          <w:color w:val="FB0007"/>
          <w:sz w:val="24"/>
          <w:szCs w:val="24"/>
        </w:rPr>
        <w:t xml:space="preserve"> </w:t>
      </w:r>
    </w:p>
    <w:p w14:paraId="1E1B061D" w14:textId="73DA203D" w:rsidR="00230ED9" w:rsidRPr="004610C4" w:rsidRDefault="4AEB4438">
      <w:pPr>
        <w:rPr>
          <w:rFonts w:ascii="Arial" w:hAnsi="Arial" w:cs="Arial"/>
          <w:sz w:val="24"/>
          <w:szCs w:val="24"/>
        </w:rPr>
      </w:pPr>
      <w:r w:rsidRPr="004610C4">
        <w:rPr>
          <w:rFonts w:ascii="Arial" w:eastAsia="Arial" w:hAnsi="Arial" w:cs="Arial"/>
          <w:color w:val="FB0007"/>
          <w:sz w:val="24"/>
          <w:szCs w:val="24"/>
        </w:rPr>
        <w:t xml:space="preserve">[insert your press release date, city location]: [Insert Your Company Name] 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ranks among the world’s Top 100 Vertical Market MSPs </w:t>
      </w:r>
      <w:r w:rsidRPr="004610C4">
        <w:rPr>
          <w:rFonts w:ascii="Arial" w:eastAsia="Arial" w:hAnsi="Arial" w:cs="Arial"/>
          <w:color w:val="343434"/>
          <w:sz w:val="24"/>
          <w:szCs w:val="24"/>
        </w:rPr>
        <w:t>(</w:t>
      </w:r>
      <w:hyperlink r:id="rId9">
        <w:r w:rsidRPr="004610C4">
          <w:rPr>
            <w:rStyle w:val="Hyperlink"/>
            <w:rFonts w:ascii="Arial" w:eastAsia="Arial" w:hAnsi="Arial" w:cs="Arial"/>
            <w:sz w:val="24"/>
            <w:szCs w:val="24"/>
          </w:rPr>
          <w:t>http://www.channelE2E.com/top100</w:t>
        </w:r>
      </w:hyperlink>
      <w:r w:rsidRPr="004610C4">
        <w:rPr>
          <w:rFonts w:ascii="Arial" w:eastAsia="Arial" w:hAnsi="Arial" w:cs="Arial"/>
          <w:color w:val="343434"/>
          <w:sz w:val="24"/>
          <w:szCs w:val="24"/>
        </w:rPr>
        <w:t xml:space="preserve">) 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>for 202</w:t>
      </w:r>
      <w:r w:rsidR="004610C4" w:rsidRPr="004610C4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>, according to ChannelE2E, a CyberRisk Alliance resource.</w:t>
      </w:r>
    </w:p>
    <w:p w14:paraId="781BF676" w14:textId="77777777" w:rsidR="004610C4" w:rsidRPr="004610C4" w:rsidRDefault="004610C4" w:rsidP="004610C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610C4">
        <w:rPr>
          <w:rFonts w:ascii="Arial" w:hAnsi="Arial" w:cs="Arial"/>
          <w:color w:val="000000" w:themeColor="text1"/>
        </w:rPr>
        <w:t xml:space="preserve">The annual list and research report identify and honor the top 100 MSPs in healthcare, legal, government, financial services, </w:t>
      </w:r>
      <w:proofErr w:type="gramStart"/>
      <w:r w:rsidRPr="004610C4">
        <w:rPr>
          <w:rFonts w:ascii="Arial" w:hAnsi="Arial" w:cs="Arial"/>
          <w:color w:val="000000" w:themeColor="text1"/>
        </w:rPr>
        <w:t>manufacturing</w:t>
      </w:r>
      <w:proofErr w:type="gramEnd"/>
      <w:r w:rsidRPr="004610C4">
        <w:rPr>
          <w:rFonts w:ascii="Arial" w:hAnsi="Arial" w:cs="Arial"/>
          <w:color w:val="000000" w:themeColor="text1"/>
        </w:rPr>
        <w:t xml:space="preserve"> and additional vertical markets. Additionally, this year’s report revealed key MSP business, security and market trends and affirms that vertical market MSPs have vastly expanded their managed security capabilities. </w:t>
      </w:r>
    </w:p>
    <w:p w14:paraId="6416E12A" w14:textId="77777777" w:rsidR="004610C4" w:rsidRPr="004610C4" w:rsidRDefault="004610C4" w:rsidP="004610C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6667647C" w14:textId="77777777" w:rsidR="004610C4" w:rsidRPr="004610C4" w:rsidRDefault="004610C4" w:rsidP="004610C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610C4">
        <w:rPr>
          <w:rFonts w:ascii="Arial" w:hAnsi="Arial" w:cs="Arial"/>
          <w:color w:val="000000" w:themeColor="text1"/>
        </w:rPr>
        <w:t>Among the report findings:</w:t>
      </w:r>
    </w:p>
    <w:p w14:paraId="2786E548" w14:textId="77777777" w:rsidR="004610C4" w:rsidRPr="004610C4" w:rsidRDefault="004610C4" w:rsidP="004610C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Open Sans" w:hAnsi="Arial" w:cs="Arial"/>
          <w:color w:val="000000" w:themeColor="text1"/>
          <w:sz w:val="24"/>
          <w:szCs w:val="24"/>
        </w:rPr>
      </w:pPr>
      <w:r w:rsidRPr="004610C4">
        <w:rPr>
          <w:rFonts w:ascii="Arial" w:eastAsia="Open Sans" w:hAnsi="Arial" w:cs="Arial"/>
          <w:color w:val="000000" w:themeColor="text1"/>
          <w:sz w:val="24"/>
          <w:szCs w:val="24"/>
        </w:rPr>
        <w:t>In total, the top vertical market MSPs generated revenues of $2.87 billion in 2022 compared to $2.25 billion in 2021, representing a 27.5% increase year over year.</w:t>
      </w:r>
    </w:p>
    <w:p w14:paraId="7D16B4C6" w14:textId="77777777" w:rsidR="004610C4" w:rsidRPr="004610C4" w:rsidRDefault="004610C4" w:rsidP="004610C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Open Sans" w:hAnsi="Arial" w:cs="Arial"/>
          <w:color w:val="000000" w:themeColor="text1"/>
          <w:sz w:val="24"/>
          <w:szCs w:val="24"/>
        </w:rPr>
      </w:pPr>
      <w:r w:rsidRPr="004610C4">
        <w:rPr>
          <w:rFonts w:ascii="Arial" w:eastAsia="Open Sans" w:hAnsi="Arial" w:cs="Arial"/>
          <w:color w:val="000000" w:themeColor="text1"/>
          <w:sz w:val="24"/>
          <w:szCs w:val="24"/>
        </w:rPr>
        <w:t xml:space="preserve">In 2022, MSPs consolidated more heavily into two vertical markets in particular – Healthcare and Financial Services/Banking. Healthcare, which was also the biggest market last year, remains the largest, </w:t>
      </w:r>
      <w:proofErr w:type="gramStart"/>
      <w:r w:rsidRPr="004610C4">
        <w:rPr>
          <w:rFonts w:ascii="Arial" w:eastAsia="Open Sans" w:hAnsi="Arial" w:cs="Arial"/>
          <w:color w:val="000000" w:themeColor="text1"/>
          <w:sz w:val="24"/>
          <w:szCs w:val="24"/>
        </w:rPr>
        <w:t>and also</w:t>
      </w:r>
      <w:proofErr w:type="gramEnd"/>
      <w:r w:rsidRPr="004610C4">
        <w:rPr>
          <w:rFonts w:ascii="Arial" w:eastAsia="Open Sans" w:hAnsi="Arial" w:cs="Arial"/>
          <w:color w:val="000000" w:themeColor="text1"/>
          <w:sz w:val="24"/>
          <w:szCs w:val="24"/>
        </w:rPr>
        <w:t xml:space="preserve"> the biggest mover, increasing from 18% in 2021 to 31% in 2022. </w:t>
      </w:r>
    </w:p>
    <w:p w14:paraId="625878BE" w14:textId="30EF60CB" w:rsidR="00B66EDC" w:rsidRDefault="004610C4" w:rsidP="00B66ED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Open Sans" w:hAnsi="Arial" w:cs="Arial"/>
          <w:color w:val="000000" w:themeColor="text1"/>
          <w:sz w:val="24"/>
          <w:szCs w:val="24"/>
        </w:rPr>
      </w:pPr>
      <w:r w:rsidRPr="004610C4">
        <w:rPr>
          <w:rFonts w:ascii="Arial" w:eastAsia="Open Sans" w:hAnsi="Arial" w:cs="Arial"/>
          <w:color w:val="000000" w:themeColor="text1"/>
          <w:sz w:val="24"/>
          <w:szCs w:val="24"/>
        </w:rPr>
        <w:t>Financial Services knocked Manufacturing out of the number 2 slot this year, growing from 13% in 2021 to 23% in 2022.</w:t>
      </w:r>
    </w:p>
    <w:p w14:paraId="2ABB0AE0" w14:textId="40E92F40" w:rsidR="00B66EDC" w:rsidRDefault="00B66EDC" w:rsidP="00B66EDC">
      <w:pPr>
        <w:spacing w:after="0" w:line="240" w:lineRule="auto"/>
        <w:rPr>
          <w:rFonts w:ascii="Arial" w:eastAsia="Open Sans" w:hAnsi="Arial" w:cs="Arial"/>
          <w:color w:val="000000" w:themeColor="text1"/>
          <w:sz w:val="24"/>
          <w:szCs w:val="24"/>
        </w:rPr>
      </w:pPr>
    </w:p>
    <w:p w14:paraId="75DA82A1" w14:textId="3939DCF3" w:rsidR="00B66EDC" w:rsidRDefault="00B66EDC" w:rsidP="00B66EDC">
      <w:pPr>
        <w:spacing w:after="0" w:line="240" w:lineRule="auto"/>
        <w:rPr>
          <w:rFonts w:ascii="Arial" w:eastAsia="Open Sans" w:hAnsi="Arial" w:cs="Arial"/>
          <w:color w:val="000000" w:themeColor="text1"/>
          <w:sz w:val="24"/>
          <w:szCs w:val="24"/>
        </w:rPr>
      </w:pPr>
      <w:r>
        <w:rPr>
          <w:rFonts w:ascii="Arial" w:eastAsia="Open Sans" w:hAnsi="Arial" w:cs="Arial"/>
          <w:color w:val="000000" w:themeColor="text1"/>
          <w:sz w:val="24"/>
          <w:szCs w:val="24"/>
        </w:rPr>
        <w:t>Rankings are based on annual recurring revenues in specific markets for the calendar year of 2022.</w:t>
      </w:r>
    </w:p>
    <w:p w14:paraId="16337D36" w14:textId="77777777" w:rsidR="00B66EDC" w:rsidRPr="00B66EDC" w:rsidRDefault="00B66EDC" w:rsidP="00B66EDC">
      <w:pPr>
        <w:spacing w:after="0" w:line="240" w:lineRule="auto"/>
        <w:rPr>
          <w:rFonts w:ascii="Arial" w:eastAsia="Open Sans" w:hAnsi="Arial" w:cs="Arial"/>
          <w:color w:val="000000" w:themeColor="text1"/>
          <w:sz w:val="24"/>
          <w:szCs w:val="24"/>
        </w:rPr>
      </w:pPr>
    </w:p>
    <w:p w14:paraId="698AF55F" w14:textId="67142761" w:rsidR="00230ED9" w:rsidRDefault="4AEB4438">
      <w:r w:rsidRPr="4AEB4438">
        <w:rPr>
          <w:rFonts w:ascii="Arial" w:eastAsia="Arial" w:hAnsi="Arial" w:cs="Arial"/>
          <w:color w:val="FB0007"/>
          <w:sz w:val="24"/>
          <w:szCs w:val="24"/>
        </w:rPr>
        <w:t xml:space="preserve">[Your company name here] </w:t>
      </w:r>
      <w:r w:rsidRPr="4AEB4438">
        <w:rPr>
          <w:rFonts w:ascii="Arial" w:eastAsia="Arial" w:hAnsi="Arial" w:cs="Arial"/>
          <w:color w:val="262626" w:themeColor="text1" w:themeTint="D9"/>
          <w:sz w:val="24"/>
          <w:szCs w:val="24"/>
        </w:rPr>
        <w:t xml:space="preserve">was ranked among the top vertical market MSPs in </w:t>
      </w:r>
      <w:r w:rsidRPr="4AEB4438">
        <w:rPr>
          <w:rFonts w:ascii="Arial" w:eastAsia="Arial" w:hAnsi="Arial" w:cs="Arial"/>
          <w:color w:val="FB0007"/>
          <w:sz w:val="24"/>
          <w:szCs w:val="24"/>
        </w:rPr>
        <w:t>[specific vertical market]</w:t>
      </w:r>
      <w:r w:rsidRPr="4AEB4438">
        <w:rPr>
          <w:rFonts w:ascii="Arial" w:eastAsia="Arial" w:hAnsi="Arial" w:cs="Arial"/>
          <w:color w:val="262626" w:themeColor="text1" w:themeTint="D9"/>
          <w:sz w:val="24"/>
          <w:szCs w:val="24"/>
        </w:rPr>
        <w:t>.</w:t>
      </w:r>
      <w:r w:rsidRPr="4AEB4438">
        <w:rPr>
          <w:rFonts w:ascii="Arial" w:eastAsia="Arial" w:hAnsi="Arial" w:cs="Arial"/>
          <w:color w:val="FB0007"/>
          <w:sz w:val="24"/>
          <w:szCs w:val="24"/>
        </w:rPr>
        <w:t xml:space="preserve"> </w:t>
      </w:r>
    </w:p>
    <w:p w14:paraId="1F03B7E7" w14:textId="498290BC" w:rsidR="00230ED9" w:rsidRDefault="4AEB4438">
      <w:r w:rsidRPr="4AEB4438">
        <w:rPr>
          <w:rFonts w:ascii="Arial" w:eastAsia="Arial" w:hAnsi="Arial" w:cs="Arial"/>
          <w:color w:val="FB0007"/>
          <w:sz w:val="24"/>
          <w:szCs w:val="24"/>
        </w:rPr>
        <w:t>[“Insert quote from your company CEO or another key leader,” said executive name, title, company. “Continue your company quote here.”]</w:t>
      </w:r>
    </w:p>
    <w:p w14:paraId="502CFBDD" w14:textId="77777777" w:rsidR="004610C4" w:rsidRPr="004610C4" w:rsidRDefault="4AEB4438" w:rsidP="004610C4">
      <w:pPr>
        <w:rPr>
          <w:rFonts w:ascii="Open Sans" w:hAnsi="Open Sans" w:cs="Open Sans"/>
          <w:color w:val="000000" w:themeColor="text1"/>
        </w:rPr>
      </w:pP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“ChannelE2E and CyberRisk Alliance congratulate </w:t>
      </w:r>
      <w:r w:rsidRPr="4AEB4438">
        <w:rPr>
          <w:rFonts w:ascii="Arial" w:eastAsia="Arial" w:hAnsi="Arial" w:cs="Arial"/>
          <w:color w:val="FB0007"/>
          <w:sz w:val="24"/>
          <w:szCs w:val="24"/>
        </w:rPr>
        <w:t>[insert your company name]</w:t>
      </w:r>
      <w:r w:rsidRPr="4AEB4438">
        <w:rPr>
          <w:rFonts w:ascii="Arial" w:eastAsia="Arial" w:hAnsi="Arial" w:cs="Arial"/>
          <w:color w:val="343434"/>
          <w:sz w:val="24"/>
          <w:szCs w:val="24"/>
        </w:rPr>
        <w:t xml:space="preserve"> 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on this honor,” said </w:t>
      </w:r>
      <w:r w:rsidR="004610C4" w:rsidRPr="004610C4">
        <w:rPr>
          <w:rFonts w:ascii="Arial" w:eastAsia="Arial" w:hAnsi="Arial" w:cs="Arial"/>
          <w:color w:val="000000" w:themeColor="text1"/>
          <w:sz w:val="24"/>
          <w:szCs w:val="24"/>
        </w:rPr>
        <w:t>Jessica C. Davis, editorial director of ChannelE2E</w:t>
      </w:r>
      <w:r w:rsidRPr="004610C4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4610C4" w:rsidRPr="004610C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610C4" w:rsidRPr="004610C4">
        <w:rPr>
          <w:rFonts w:ascii="Arial" w:hAnsi="Arial" w:cs="Arial"/>
          <w:color w:val="000000" w:themeColor="text1"/>
          <w:sz w:val="24"/>
          <w:szCs w:val="24"/>
        </w:rPr>
        <w:t xml:space="preserve">a CyberRisk Alliance resource. “Vertical market MSPs tend to grow faster and enjoy better margins than the rest of the pack. They </w:t>
      </w:r>
      <w:proofErr w:type="gramStart"/>
      <w:r w:rsidR="004610C4" w:rsidRPr="004610C4">
        <w:rPr>
          <w:rFonts w:ascii="Arial" w:hAnsi="Arial" w:cs="Arial"/>
          <w:color w:val="000000" w:themeColor="text1"/>
          <w:sz w:val="24"/>
          <w:szCs w:val="24"/>
        </w:rPr>
        <w:t>are able to</w:t>
      </w:r>
      <w:proofErr w:type="gramEnd"/>
      <w:r w:rsidR="004610C4" w:rsidRPr="004610C4">
        <w:rPr>
          <w:rFonts w:ascii="Arial" w:hAnsi="Arial" w:cs="Arial"/>
          <w:color w:val="000000" w:themeColor="text1"/>
          <w:sz w:val="24"/>
          <w:szCs w:val="24"/>
        </w:rPr>
        <w:t xml:space="preserve"> specialize, standardizing their technology stacks for their specific vertical markets and training their staff to best serve those verticals, leading to more efficient operations.”</w:t>
      </w:r>
    </w:p>
    <w:p w14:paraId="78878EA6" w14:textId="77777777" w:rsidR="004610C4" w:rsidRDefault="004610C4" w:rsidP="004610C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610C4">
        <w:rPr>
          <w:rFonts w:ascii="Arial" w:hAnsi="Arial" w:cs="Arial"/>
          <w:color w:val="000000" w:themeColor="text1"/>
        </w:rPr>
        <w:t>ChannelE2E's Top 100 Vertical Market MSPs list and research report are overseen by Jessica C. Davis, Editorial Director, MSSP Alert and ChannelE2E.</w:t>
      </w:r>
    </w:p>
    <w:p w14:paraId="33BAA905" w14:textId="77777777" w:rsidR="004610C4" w:rsidRDefault="004610C4" w:rsidP="004610C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7CD453F7" w14:textId="2771DB03" w:rsidR="004610C4" w:rsidRDefault="00000000" w:rsidP="004610C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</w:rPr>
      </w:pPr>
      <w:hyperlink r:id="rId10">
        <w:r w:rsidR="004610C4" w:rsidRPr="004610C4">
          <w:rPr>
            <w:rStyle w:val="Hyperlink"/>
            <w:rFonts w:ascii="Arial" w:hAnsi="Arial" w:cs="Arial"/>
          </w:rPr>
          <w:t>Click here</w:t>
        </w:r>
      </w:hyperlink>
      <w:r w:rsidR="004610C4" w:rsidRPr="004610C4">
        <w:rPr>
          <w:rFonts w:ascii="Arial" w:hAnsi="Arial" w:cs="Arial"/>
          <w:color w:val="000000" w:themeColor="text1"/>
        </w:rPr>
        <w:t xml:space="preserve"> to download the list and associated report.</w:t>
      </w:r>
    </w:p>
    <w:p w14:paraId="51B4E9E9" w14:textId="77777777" w:rsidR="004610C4" w:rsidRPr="004610C4" w:rsidRDefault="004610C4" w:rsidP="004610C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14:paraId="6E0EB8CB" w14:textId="663AE79D" w:rsidR="00230ED9" w:rsidRDefault="4AEB4438">
      <w:r w:rsidRPr="4AEB4438">
        <w:rPr>
          <w:rFonts w:ascii="Arial" w:eastAsia="Arial" w:hAnsi="Arial" w:cs="Arial"/>
          <w:color w:val="FB0007"/>
          <w:sz w:val="24"/>
          <w:szCs w:val="24"/>
        </w:rPr>
        <w:t xml:space="preserve">[Add more about your company vision, growth, </w:t>
      </w:r>
      <w:proofErr w:type="gramStart"/>
      <w:r w:rsidRPr="4AEB4438">
        <w:rPr>
          <w:rFonts w:ascii="Arial" w:eastAsia="Arial" w:hAnsi="Arial" w:cs="Arial"/>
          <w:color w:val="FB0007"/>
          <w:sz w:val="24"/>
          <w:szCs w:val="24"/>
        </w:rPr>
        <w:t>milestones</w:t>
      </w:r>
      <w:proofErr w:type="gramEnd"/>
      <w:r w:rsidRPr="4AEB4438">
        <w:rPr>
          <w:rFonts w:ascii="Arial" w:eastAsia="Arial" w:hAnsi="Arial" w:cs="Arial"/>
          <w:color w:val="FB0007"/>
          <w:sz w:val="24"/>
          <w:szCs w:val="24"/>
        </w:rPr>
        <w:t xml:space="preserve"> or other key items here. Multiple paragraphs welcome.]</w:t>
      </w:r>
    </w:p>
    <w:p w14:paraId="0EA945B3" w14:textId="0A41FF3B" w:rsidR="00230ED9" w:rsidRDefault="4AEB4438" w:rsidP="4AEB4438">
      <w:pPr>
        <w:rPr>
          <w:rFonts w:ascii="Arial" w:eastAsia="Arial" w:hAnsi="Arial" w:cs="Arial"/>
          <w:b/>
          <w:bCs/>
          <w:color w:val="FB0007"/>
          <w:sz w:val="24"/>
          <w:szCs w:val="24"/>
        </w:rPr>
      </w:pPr>
      <w:r w:rsidRPr="4AEB4438">
        <w:rPr>
          <w:rFonts w:ascii="Arial" w:eastAsia="Arial" w:hAnsi="Arial" w:cs="Arial"/>
          <w:b/>
          <w:bCs/>
          <w:color w:val="FB0007"/>
          <w:sz w:val="24"/>
          <w:szCs w:val="24"/>
        </w:rPr>
        <w:t>[About Your Company</w:t>
      </w:r>
    </w:p>
    <w:p w14:paraId="6970A653" w14:textId="51EB054F" w:rsidR="00230ED9" w:rsidRDefault="4AEB4438">
      <w:r w:rsidRPr="4AEB4438">
        <w:rPr>
          <w:rFonts w:ascii="Arial" w:eastAsia="Arial" w:hAnsi="Arial" w:cs="Arial"/>
          <w:color w:val="FB0007"/>
          <w:sz w:val="24"/>
          <w:szCs w:val="24"/>
        </w:rPr>
        <w:t xml:space="preserve"> Add your company boilerplate info here]</w:t>
      </w:r>
    </w:p>
    <w:p w14:paraId="580FB5F9" w14:textId="77777777" w:rsidR="004610C4" w:rsidRPr="004610C4" w:rsidRDefault="004610C4" w:rsidP="004610C4">
      <w:pPr>
        <w:pStyle w:val="paragraph"/>
        <w:spacing w:before="0" w:beforeAutospacing="0" w:after="0" w:afterAutospacing="0"/>
        <w:textAlignment w:val="baseline"/>
        <w:rPr>
          <w:rFonts w:ascii="Arial" w:eastAsia="Titillium Web" w:hAnsi="Arial" w:cs="Arial"/>
        </w:rPr>
      </w:pPr>
    </w:p>
    <w:p w14:paraId="6DC4F3E9" w14:textId="77777777" w:rsidR="004610C4" w:rsidRPr="004610C4" w:rsidRDefault="004610C4" w:rsidP="004610C4">
      <w:pPr>
        <w:rPr>
          <w:rFonts w:ascii="Arial" w:eastAsia="Titillium Web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4610C4">
        <w:rPr>
          <w:rFonts w:ascii="Arial" w:eastAsia="Titillium Web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About CyberRisk Alliance </w:t>
      </w:r>
    </w:p>
    <w:p w14:paraId="37CE2569" w14:textId="7399E3D8" w:rsidR="004610C4" w:rsidRPr="004610C4" w:rsidRDefault="004610C4" w:rsidP="437AAE16">
      <w:pPr>
        <w:rPr>
          <w:rStyle w:val="normaltextrun"/>
          <w:rFonts w:ascii="Arial" w:eastAsia="Titillium Web" w:hAnsi="Arial" w:cs="Arial"/>
          <w:color w:val="000000" w:themeColor="text1"/>
          <w:sz w:val="24"/>
          <w:szCs w:val="24"/>
        </w:rPr>
      </w:pPr>
      <w:r w:rsidRPr="004610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CyberRisk Alliance (CRA) is a business intelligence company serving the high growth, rapidly evolving cybersecurity community with a diversified portfolio of services that inform, educate, build community, and inspire an efficient marketplace. Our trusted information leverages a unique network of journalists, analysts and influencers, policymakers, and practitioners. </w:t>
      </w:r>
      <w:r w:rsidRPr="437AAE16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 xml:space="preserve">CRA’s brands include </w:t>
      </w:r>
      <w:r w:rsidR="0B254245" w:rsidRPr="437AAE16">
        <w:rPr>
          <w:rFonts w:ascii="Arial" w:eastAsia="Arial" w:hAnsi="Arial" w:cs="Arial"/>
          <w:sz w:val="24"/>
          <w:szCs w:val="24"/>
        </w:rPr>
        <w:t>SC Media, Security Weekly, ChannelE2E, MSSP Alert, InfoSec World, Identiverse, Cybersecurity Collaboration Forum, its research unit CRA Business Intelligence, the peer-to-peer CISO membership network, Cybersecurity Collaborative, the Official Cyber Security Summit, TECHEXPO Top Secret, and now LaunchTech Communications</w:t>
      </w:r>
      <w:r w:rsidRPr="437AAE16">
        <w:rPr>
          <w:rFonts w:ascii="Arial" w:eastAsia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437AAE1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hyperlink r:id="rId11">
        <w:r w:rsidRPr="437AAE16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Click here to learn more</w:t>
        </w:r>
      </w:hyperlink>
      <w:r w:rsidRPr="437AAE16">
        <w:rPr>
          <w:rStyle w:val="normaltextrun"/>
          <w:rFonts w:ascii="Arial" w:eastAsia="Arial" w:hAnsi="Arial" w:cs="Arial"/>
          <w:sz w:val="24"/>
          <w:szCs w:val="24"/>
        </w:rPr>
        <w:t xml:space="preserve">. </w:t>
      </w:r>
    </w:p>
    <w:p w14:paraId="2C078E63" w14:textId="76ECB300" w:rsidR="00230ED9" w:rsidRDefault="4AEB4438">
      <w:r w:rsidRPr="4AEB4438">
        <w:rPr>
          <w:rFonts w:ascii="Calibri" w:eastAsia="Calibri" w:hAnsi="Calibri" w:cs="Calibri"/>
          <w:color w:val="FF0000"/>
          <w:sz w:val="30"/>
          <w:szCs w:val="30"/>
        </w:rPr>
        <w:t>-end-</w:t>
      </w:r>
    </w:p>
    <w:sectPr w:rsidR="0023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60FD"/>
    <w:multiLevelType w:val="hybridMultilevel"/>
    <w:tmpl w:val="266C7266"/>
    <w:lvl w:ilvl="0" w:tplc="421EE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E1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B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CD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C9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24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C2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E5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49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77B5E"/>
    <w:multiLevelType w:val="hybridMultilevel"/>
    <w:tmpl w:val="E8EE8FCA"/>
    <w:lvl w:ilvl="0" w:tplc="D89C8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0D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26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6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04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29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2D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E0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08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620373">
    <w:abstractNumId w:val="0"/>
  </w:num>
  <w:num w:numId="2" w16cid:durableId="17446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D0963"/>
    <w:rsid w:val="00083BDC"/>
    <w:rsid w:val="00230ED9"/>
    <w:rsid w:val="004610C4"/>
    <w:rsid w:val="00B66EDC"/>
    <w:rsid w:val="00B70664"/>
    <w:rsid w:val="0B254245"/>
    <w:rsid w:val="0D00F613"/>
    <w:rsid w:val="279896B9"/>
    <w:rsid w:val="2BBD0963"/>
    <w:rsid w:val="437AAE16"/>
    <w:rsid w:val="4AEB4438"/>
    <w:rsid w:val="5002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0963"/>
  <w15:chartTrackingRefBased/>
  <w15:docId w15:val="{6B3D018E-0FF8-44C5-93E3-0F05D6C2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10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6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10C4"/>
  </w:style>
  <w:style w:type="paragraph" w:customStyle="1" w:styleId="paragraph">
    <w:name w:val="paragraph"/>
    <w:basedOn w:val="Normal"/>
    <w:rsid w:val="0046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c.davis@cyberriskalliance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yberriskalliance.com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hannele2e.com/top10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hannele2e.com/top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2DAE1BB4907449129F844124402CD" ma:contentTypeVersion="18" ma:contentTypeDescription="Create a new document." ma:contentTypeScope="" ma:versionID="a031f29c6637274639003de081bbf7e4">
  <xsd:schema xmlns:xsd="http://www.w3.org/2001/XMLSchema" xmlns:xs="http://www.w3.org/2001/XMLSchema" xmlns:p="http://schemas.microsoft.com/office/2006/metadata/properties" xmlns:ns2="34152ff8-feb0-4171-b9ea-a747e75b08a4" xmlns:ns3="9be09120-60a7-4c8c-9d96-d030e1044a82" targetNamespace="http://schemas.microsoft.com/office/2006/metadata/properties" ma:root="true" ma:fieldsID="f553159eba653fdc61bcf23e43d90c1c" ns2:_="" ns3:_="">
    <xsd:import namespace="34152ff8-feb0-4171-b9ea-a747e75b08a4"/>
    <xsd:import namespace="9be09120-60a7-4c8c-9d96-d030e1044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2ff8-feb0-4171-b9ea-a747e75b0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In Review"/>
          <xsd:enumeration value="Declined"/>
          <xsd:enumeration value="Approved"/>
          <xsd:enumeration value="On track"/>
          <xsd:enumeration value="Delayed"/>
          <xsd:enumeration value="Complete"/>
          <xsd:enumeration value="In Progress"/>
          <xsd:enumeration value="Cancelled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a46a5ad-c9ae-4ea9-bcd4-0fbcf8316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09120-60a7-4c8c-9d96-d030e1044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d7c5e79-e268-4a08-aad7-835efd2bf90a}" ma:internalName="TaxCatchAll" ma:showField="CatchAllData" ma:web="9be09120-60a7-4c8c-9d96-d030e1044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09120-60a7-4c8c-9d96-d030e1044a82" xsi:nil="true"/>
    <Status xmlns="34152ff8-feb0-4171-b9ea-a747e75b08a4" xsi:nil="true"/>
    <lcf76f155ced4ddcb4097134ff3c332f xmlns="34152ff8-feb0-4171-b9ea-a747e75b0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BF456C-195C-4AF2-86FE-9B89A473E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1DC1C-E24D-4EDE-A4CE-8D7E47A8C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52ff8-feb0-4171-b9ea-a747e75b08a4"/>
    <ds:schemaRef ds:uri="9be09120-60a7-4c8c-9d96-d030e1044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607FD-826F-4C80-8EDF-AF673ECD0FA2}">
  <ds:schemaRefs>
    <ds:schemaRef ds:uri="http://schemas.microsoft.com/office/2006/metadata/properties"/>
    <ds:schemaRef ds:uri="http://schemas.microsoft.com/office/infopath/2007/PartnerControls"/>
    <ds:schemaRef ds:uri="9be09120-60a7-4c8c-9d96-d030e1044a82"/>
    <ds:schemaRef ds:uri="34152ff8-feb0-4171-b9ea-a747e75b08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Panettieri</dc:creator>
  <cp:keywords/>
  <dc:description/>
  <cp:lastModifiedBy>Natasha Fiorillo</cp:lastModifiedBy>
  <cp:revision>2</cp:revision>
  <dcterms:created xsi:type="dcterms:W3CDTF">2023-06-28T19:20:00Z</dcterms:created>
  <dcterms:modified xsi:type="dcterms:W3CDTF">2023-06-28T19:20:00Z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0x01010006F2DAE1BB4907449129F844124402CD</vt:lpwstr>
  </property>
  <property fmtid="{D5CDD505-2E9C-101B-9397-08002B2CF9AE}" pid="3" name="MediaServiceImageTags">
    <vt:lpwstr/>
  </property>
</Properties>
</file>