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3C3B71C" w14:paraId="0EE74A63" wp14:textId="23484BEC">
      <w:p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Note: </w:t>
      </w:r>
      <w:r w:rsidRPr="73C3B71C" w:rsidR="0E6A9A5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Please do not issue press releases until on or after Tuesday, September 20, 2022. </w:t>
      </w: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following template press release is for MSSP Alert Top 250 Managed Security Services Provider 2022 Edition honoree companies.</w:t>
      </w:r>
    </w:p>
    <w:p xmlns:wp14="http://schemas.microsoft.com/office/word/2010/wordml" w14:paraId="08A781D1" wp14:textId="715412D6"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Honorees are welcome to customize the </w:t>
      </w: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4"/>
          <w:szCs w:val="24"/>
          <w:u w:val="none"/>
          <w:lang w:val="en-US"/>
        </w:rPr>
        <w:t>red areas</w:t>
      </w: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the press release. Please do not alter or omit any sections in black. For questions or comments please email Editorial Director Joe Panettieri: </w:t>
      </w:r>
      <w:hyperlink r:id="Rea42fc30ec0a4da9">
        <w:r w:rsidRPr="73C3B71C" w:rsidR="0520A872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Joe.Panettieri@CyberRiskAlliance.com</w:t>
        </w:r>
      </w:hyperlink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14:paraId="27DC4AC8" wp14:textId="4725ABB1"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BEGIN PRESS RELEASE:</w:t>
      </w:r>
    </w:p>
    <w:p xmlns:wp14="http://schemas.microsoft.com/office/word/2010/wordml" w14:paraId="297B99F9" wp14:textId="5B27F7E4"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73C3B71C" w14:paraId="0D36B972" wp14:textId="331B88C5">
      <w:pPr>
        <w:jc w:val="center"/>
      </w:pP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4"/>
          <w:szCs w:val="24"/>
          <w:u w:val="none"/>
          <w:lang w:val="en-US"/>
        </w:rPr>
        <w:t>[Insert Your Company]</w:t>
      </w: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Named to MSSP Alert’s </w:t>
      </w:r>
      <w:r>
        <w:br/>
      </w: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Top 250 MSSPs List for 2022</w:t>
      </w:r>
    </w:p>
    <w:p xmlns:wp14="http://schemas.microsoft.com/office/word/2010/wordml" w14:paraId="7C8C7F95" wp14:textId="203CFF90"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73C3B71C" w14:paraId="1334DAD3" wp14:textId="48038C4E">
      <w:pPr>
        <w:jc w:val="center"/>
      </w:pP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Sixth-Annual List &amp; Research Identifies </w:t>
      </w: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Leading </w:t>
      </w:r>
      <w:r>
        <w:br/>
      </w: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Managed Security Service Providers Worldwide</w:t>
      </w:r>
    </w:p>
    <w:p xmlns:wp14="http://schemas.microsoft.com/office/word/2010/wordml" w:rsidP="73C3B71C" w14:paraId="3D3F8706" wp14:textId="3B3CA2A2">
      <w:pPr>
        <w:jc w:val="center"/>
      </w:pP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7B96A21" wp14:textId="04A16105"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4"/>
          <w:szCs w:val="24"/>
          <w:u w:val="none"/>
          <w:lang w:val="en-US"/>
        </w:rPr>
        <w:t xml:space="preserve">[insert your press release date, location]: 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MSSP Alert, a </w:t>
      </w:r>
      <w:proofErr w:type="spellStart"/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CyberRisk</w:t>
      </w:r>
      <w:proofErr w:type="spellEnd"/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Alliance resource, has named 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4"/>
          <w:szCs w:val="24"/>
          <w:u w:val="none"/>
          <w:lang w:val="en-US"/>
        </w:rPr>
        <w:t xml:space="preserve">[Insert Your Company Name] 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the Top 250 MSSPs list for 2022 (</w:t>
      </w:r>
      <w:hyperlink r:id="R2118c98a2df34861">
        <w:r w:rsidRPr="73C3B71C" w:rsidR="0520A87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http://www.msspalert.com/top250</w:t>
        </w:r>
      </w:hyperlink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). </w:t>
      </w:r>
      <w:r>
        <w:br/>
      </w:r>
    </w:p>
    <w:p xmlns:wp14="http://schemas.microsoft.com/office/word/2010/wordml" w:rsidP="73C3B71C" w14:paraId="7E5819B2" wp14:textId="7C2E235D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list and research identify and </w:t>
      </w:r>
      <w:proofErr w:type="gramStart"/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honor</w:t>
      </w:r>
      <w:proofErr w:type="gramEnd"/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top MSSPs (managed security service providers) worldwide. 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4"/>
          <w:szCs w:val="24"/>
          <w:u w:val="none"/>
          <w:lang w:val="en-US"/>
        </w:rPr>
        <w:t xml:space="preserve">The rankings are based on MSSP Alert’s 2022 readership survey combined with the </w:t>
      </w:r>
      <w:r w:rsidRPr="73C3B71C" w:rsidR="7894CC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4"/>
          <w:szCs w:val="24"/>
          <w:u w:val="none"/>
          <w:lang w:val="en-US"/>
        </w:rPr>
        <w:t xml:space="preserve">site’s 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4"/>
          <w:szCs w:val="24"/>
          <w:u w:val="none"/>
          <w:lang w:val="en-US"/>
        </w:rPr>
        <w:t xml:space="preserve">editorial coverage of MSSP, MDR and MSP security providers. 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sixth-annual list and research track the </w:t>
      </w:r>
      <w:r w:rsidRPr="73C3B71C" w:rsidR="4CC6679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MSSP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market’s ongoing growth and evolution. </w:t>
      </w:r>
    </w:p>
    <w:p xmlns:wp14="http://schemas.microsoft.com/office/word/2010/wordml" w14:paraId="2B7D6160" wp14:textId="39DED029">
      <w:r>
        <w:br/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4"/>
          <w:szCs w:val="24"/>
          <w:u w:val="none"/>
          <w:lang w:val="en-US"/>
        </w:rPr>
        <w:t>[“Insert quote from your company CEO or another key leader,” said executive name, title, company. “Continue your company quote here.”]</w:t>
      </w:r>
    </w:p>
    <w:p xmlns:wp14="http://schemas.microsoft.com/office/word/2010/wordml" w14:paraId="13445522" wp14:textId="58D45A12"/>
    <w:p xmlns:wp14="http://schemas.microsoft.com/office/word/2010/wordml" w14:paraId="5B04DDCE" wp14:textId="3B3AEAF2">
      <w:r w:rsidRPr="32F07BA1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“MSSP Alert congratulates </w:t>
      </w:r>
      <w:r w:rsidRPr="32F07BA1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4"/>
          <w:szCs w:val="24"/>
          <w:u w:val="none"/>
          <w:lang w:val="en-US"/>
        </w:rPr>
        <w:t>[insert your company name]</w:t>
      </w:r>
      <w:r w:rsidRPr="32F07BA1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 this year’s honor,” said Joe Panettieri, editorial director of MSSP Alert</w:t>
      </w:r>
      <w:r w:rsidRPr="32F07BA1" w:rsidR="6E7254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32F07BA1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“The MSSP Alert readership and </w:t>
      </w:r>
      <w:r w:rsidRPr="32F07BA1" w:rsidR="0F191DC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32F07BA1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op 250 honorees continue to outpace the cybersecurity market </w:t>
      </w:r>
      <w:r w:rsidRPr="32F07BA1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worldwide.</w:t>
      </w:r>
      <w:r w:rsidRPr="32F07BA1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”</w:t>
      </w:r>
      <w:r>
        <w:br/>
      </w:r>
    </w:p>
    <w:p xmlns:wp14="http://schemas.microsoft.com/office/word/2010/wordml" w:rsidP="73C3B71C" w14:paraId="7B7923E8" wp14:textId="45B4E802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91914"/>
          <w:sz w:val="24"/>
          <w:szCs w:val="24"/>
          <w:u w:val="none"/>
          <w:lang w:val="en-US"/>
        </w:rPr>
      </w:pP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91914"/>
          <w:sz w:val="24"/>
          <w:szCs w:val="24"/>
          <w:u w:val="none"/>
          <w:lang w:val="en-US"/>
        </w:rPr>
        <w:t xml:space="preserve">Highlights from the associated MSSP Alert research </w:t>
      </w:r>
      <w:r w:rsidRPr="73C3B71C" w:rsidR="213B044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91914"/>
          <w:sz w:val="24"/>
          <w:szCs w:val="24"/>
          <w:u w:val="none"/>
          <w:lang w:val="en-US"/>
        </w:rPr>
        <w:t xml:space="preserve">for 2022 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91914"/>
          <w:sz w:val="24"/>
          <w:szCs w:val="24"/>
          <w:u w:val="none"/>
          <w:lang w:val="en-US"/>
        </w:rPr>
        <w:t>include:</w:t>
      </w:r>
    </w:p>
    <w:p xmlns:wp14="http://schemas.microsoft.com/office/word/2010/wordml" w14:paraId="44AC3030" wp14:textId="369BEBBB">
      <w:r w:rsidRPr="73C3B71C" w:rsidR="0520A87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91914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73C3B71C" w14:paraId="02E2D826" wp14:textId="1EB0F7F2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33333"/>
          <w:sz w:val="22"/>
          <w:szCs w:val="22"/>
          <w:u w:val="none"/>
          <w:lang w:val="en-US"/>
        </w:rPr>
      </w:pP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 xml:space="preserve">MSSP Revenue Growth &amp; Financial Performance: 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 xml:space="preserve">MSSP honorees, on average, expect to generate $24 million in revenue for 2022, up 26% from 2021. The growth rate is roughly double the market average. </w:t>
      </w:r>
    </w:p>
    <w:p xmlns:wp14="http://schemas.microsoft.com/office/word/2010/wordml" w:rsidP="73C3B71C" w14:paraId="387E08BF" wp14:textId="63C4EB98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33333"/>
          <w:sz w:val="22"/>
          <w:szCs w:val="22"/>
          <w:u w:val="none"/>
          <w:lang w:val="en-US"/>
        </w:rPr>
      </w:pP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>Geography: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 xml:space="preserve"> Honorees are headquartered in 30 different countries. </w:t>
      </w:r>
    </w:p>
    <w:p xmlns:wp14="http://schemas.microsoft.com/office/word/2010/wordml" w:rsidP="73C3B71C" w14:paraId="065E0809" wp14:textId="3302079D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333333"/>
          <w:sz w:val="22"/>
          <w:szCs w:val="22"/>
          <w:u w:val="none"/>
          <w:lang w:val="en-US"/>
        </w:rPr>
      </w:pP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>Profits: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 xml:space="preserve"> 90% of MSSPs surveyed expect to be profitable for fiscal year 2022, a five-point improvement from 2021. </w:t>
      </w:r>
    </w:p>
    <w:p xmlns:wp14="http://schemas.microsoft.com/office/word/2010/wordml" w:rsidP="73C3B71C" w14:paraId="60BF549E" wp14:textId="42F73B24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33333"/>
          <w:sz w:val="22"/>
          <w:szCs w:val="22"/>
          <w:u w:val="none"/>
          <w:lang w:val="en-US"/>
        </w:rPr>
      </w:pP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>Security Operations Centers: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 xml:space="preserve"> 69% have in-house SOCs, 19% are hybrid, 8% completely outsource their SOCs, and 4% are reevaluating their SOC strategies. </w:t>
      </w:r>
    </w:p>
    <w:p xmlns:wp14="http://schemas.microsoft.com/office/word/2010/wordml" w:rsidP="73C3B71C" w14:paraId="45C8D760" wp14:textId="30BA0D83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33333"/>
          <w:sz w:val="22"/>
          <w:szCs w:val="22"/>
          <w:u w:val="none"/>
          <w:lang w:val="en-US"/>
        </w:rPr>
      </w:pP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>Cyberattack Trends: T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 xml:space="preserve">he most frequent attacks targeting MSSP customers in 2022 include phishing (97%), vulnerability exploits (93%) and ransomware (91%).  </w:t>
      </w:r>
    </w:p>
    <w:p xmlns:wp14="http://schemas.microsoft.com/office/word/2010/wordml" w:rsidP="73C3B71C" w14:paraId="6C5B600C" wp14:textId="2EB5FBBA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33333"/>
          <w:sz w:val="22"/>
          <w:szCs w:val="22"/>
          <w:u w:val="none"/>
          <w:lang w:val="en-US"/>
        </w:rPr>
      </w:pP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>Cybersecurity Solutions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 xml:space="preserve">: In a continued sign of market fragmentation, MSSP survey participants mentioned 140 different hardware, software, cloud, distribution and services vendors that assist their cybersecurity efforts. </w:t>
      </w:r>
    </w:p>
    <w:p xmlns:wp14="http://schemas.microsoft.com/office/word/2010/wordml" w:rsidP="73C3B71C" w14:paraId="00E6E579" wp14:textId="2B09B66A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33333"/>
          <w:sz w:val="22"/>
          <w:szCs w:val="22"/>
          <w:u w:val="none"/>
          <w:lang w:val="en-US"/>
        </w:rPr>
      </w:pPr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>Key Managed Security Services Offered:</w:t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 xml:space="preserve"> MSSPs and MSPs increasingly seek out partners to deliver MDR (managed detection and response), XDR (eXtended Detection and Response), Incident Response and other key services.  </w:t>
      </w:r>
    </w:p>
    <w:p xmlns:wp14="http://schemas.microsoft.com/office/word/2010/wordml" w:rsidP="73C3B71C" w14:paraId="04A9678C" wp14:textId="14AAB6F1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>
        <w:br/>
      </w: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Find the online list and associated report here: </w:t>
      </w:r>
      <w:hyperlink r:id="Rfb1511d732ec4402">
        <w:r w:rsidRPr="73C3B71C" w:rsidR="0520A87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http://www.msspalert.com/top250</w:t>
        </w:r>
      </w:hyperlink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73C3B71C" w14:paraId="0D742DE3" wp14:textId="2BA4D9FD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</w:pPr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[Add more about your company vision, growth, milestones or other key items here. Multiple paragraphs welcome.]</w:t>
      </w:r>
    </w:p>
    <w:p xmlns:wp14="http://schemas.microsoft.com/office/word/2010/wordml" w14:paraId="23DADD66" wp14:textId="5C9FB8DB"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[About Your Company: Add your company boilerplate info here]</w:t>
      </w:r>
    </w:p>
    <w:p xmlns:wp14="http://schemas.microsoft.com/office/word/2010/wordml" w14:paraId="5996181F" wp14:textId="7A88B5CE"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14:paraId="2B486187" wp14:textId="6A911A99">
      <w:r w:rsidRPr="73C3B71C" w:rsidR="0520A87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US"/>
        </w:rPr>
        <w:t xml:space="preserve">About CyberRisk Alliance   </w:t>
      </w:r>
    </w:p>
    <w:p xmlns:wp14="http://schemas.microsoft.com/office/word/2010/wordml" w:rsidP="73C3B71C" w14:paraId="690EEA31" wp14:textId="736DE7C7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US"/>
        </w:rPr>
      </w:pPr>
      <w:proofErr w:type="spellStart"/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US"/>
        </w:rPr>
        <w:t>CyberRisk</w:t>
      </w:r>
      <w:proofErr w:type="spellEnd"/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US"/>
        </w:rPr>
        <w:t xml:space="preserve"> Alliance (CRA) is a business intelligence company serving the high growth, rapidly evolving cybersecurity community with a diversified portfolio of services that inform, educate, build community, and inspire an efficient marketplace. Our trusted information leverages a unique network of journalists, analysts and influencers, policymakers, and practitioners. CRA’s brands include SC Media, </w:t>
      </w:r>
      <w:proofErr w:type="spellStart"/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US"/>
        </w:rPr>
        <w:t>SecurityWeekly</w:t>
      </w:r>
      <w:proofErr w:type="spellEnd"/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US"/>
        </w:rPr>
        <w:t xml:space="preserve">, ChannelE2E, MSSP Alert, InfoSec World, </w:t>
      </w:r>
      <w:proofErr w:type="spellStart"/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US"/>
        </w:rPr>
        <w:t>Identiverse</w:t>
      </w:r>
      <w:proofErr w:type="spellEnd"/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US"/>
        </w:rPr>
        <w:t>, Cybersecurity Collaboration Forum, its research unit CRA Business Intelligence, and the peer-to-peer CISO membership network, Cybersecurity Collaborative.</w:t>
      </w:r>
      <w:hyperlink r:id="R0fd848a983064b61">
        <w:r w:rsidRPr="73C3B71C" w:rsidR="0520A87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18"/>
            <w:szCs w:val="18"/>
            <w:lang w:val="en-US"/>
          </w:rPr>
          <w:t xml:space="preserve"> Click here to learn more</w:t>
        </w:r>
      </w:hyperlink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US"/>
        </w:rPr>
        <w:t xml:space="preserve">.  </w:t>
      </w:r>
    </w:p>
    <w:p xmlns:wp14="http://schemas.microsoft.com/office/word/2010/wordml" w14:paraId="7075BB20" wp14:textId="1CCBA60B">
      <w:r>
        <w:br/>
      </w:r>
    </w:p>
    <w:p xmlns:wp14="http://schemas.microsoft.com/office/word/2010/wordml" w14:paraId="125F60D9" wp14:textId="0ADC73CB">
      <w:r w:rsidRPr="73C3B71C" w:rsidR="0520A8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-end-</w:t>
      </w:r>
    </w:p>
    <w:p xmlns:wp14="http://schemas.microsoft.com/office/word/2010/wordml" w:rsidP="73C3B71C" w14:paraId="2C078E63" wp14:textId="44AB50A5">
      <w:pPr>
        <w:pStyle w:val="Normal"/>
      </w:pP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47ea0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9CBC29"/>
    <w:rsid w:val="0520A872"/>
    <w:rsid w:val="0E6A9A5C"/>
    <w:rsid w:val="0F191DCC"/>
    <w:rsid w:val="213B0448"/>
    <w:rsid w:val="29023B02"/>
    <w:rsid w:val="2CE9D6B8"/>
    <w:rsid w:val="31BEE543"/>
    <w:rsid w:val="32F07BA1"/>
    <w:rsid w:val="46A7AA26"/>
    <w:rsid w:val="49651021"/>
    <w:rsid w:val="4CC66793"/>
    <w:rsid w:val="529CBC29"/>
    <w:rsid w:val="6E72540F"/>
    <w:rsid w:val="73C3B71C"/>
    <w:rsid w:val="7894CC07"/>
    <w:rsid w:val="78EA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BC29"/>
  <w15:chartTrackingRefBased/>
  <w15:docId w15:val="{B7687A67-4FF7-4D3C-9591-CEAB085C3C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oe.Panettieri@CyberRiskAlliance.com" TargetMode="External" Id="Rea42fc30ec0a4da9" /><Relationship Type="http://schemas.openxmlformats.org/officeDocument/2006/relationships/hyperlink" Target="http://www.msspalert.com/top250" TargetMode="External" Id="R2118c98a2df34861" /><Relationship Type="http://schemas.openxmlformats.org/officeDocument/2006/relationships/hyperlink" Target="http://www.msspalert.com/top250" TargetMode="External" Id="Rfb1511d732ec4402" /><Relationship Type="http://schemas.openxmlformats.org/officeDocument/2006/relationships/hyperlink" Target="https://www.cyberriskalliance.com/" TargetMode="External" Id="R0fd848a983064b61" /><Relationship Type="http://schemas.openxmlformats.org/officeDocument/2006/relationships/numbering" Target="numbering.xml" Id="R43c28451fa9e47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2022-09-15T16:38:13.9554350Z</dcterms:created>
  <dcterms:modified xsi:type="dcterms:W3CDTF">2022-09-15T19:27:23.0394689Z</dcterms:modified>
  <dc:creator>Joe Panettieri</dc:creator>
  <lastModifiedBy>Joe Panettieri</lastModifiedBy>
</coreProperties>
</file>